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41" w:line="194" w:lineRule="auto"/>
        <w:ind w:left="27"/>
        <w:rPr>
          <w:rFonts w:hint="eastAsia" w:eastAsia="PingFang SC"/>
          <w:lang w:eastAsia="zh-CN"/>
        </w:rPr>
      </w:pPr>
      <w:r>
        <w:rPr>
          <w:spacing w:val="-4"/>
        </w:rPr>
        <w:t>附件</w:t>
      </w:r>
      <w:r>
        <w:rPr>
          <w:rFonts w:hint="eastAsia"/>
          <w:spacing w:val="-4"/>
          <w:lang w:val="en-US" w:eastAsia="zh-CN"/>
        </w:rPr>
        <w:t>2</w:t>
      </w:r>
    </w:p>
    <w:p>
      <w:pPr>
        <w:pStyle w:val="3"/>
        <w:spacing w:before="4" w:line="192" w:lineRule="auto"/>
        <w:ind w:left="1370"/>
        <w:outlineLvl w:val="2"/>
        <w:rPr>
          <w:spacing w:val="5"/>
          <w:sz w:val="43"/>
          <w:szCs w:val="43"/>
        </w:rPr>
      </w:pPr>
    </w:p>
    <w:p>
      <w:pPr>
        <w:pStyle w:val="3"/>
        <w:spacing w:before="4" w:line="192" w:lineRule="auto"/>
        <w:ind w:left="1370"/>
        <w:outlineLvl w:val="2"/>
        <w:rPr>
          <w:rFonts w:hint="default" w:ascii="Times New Roman" w:hAnsi="Times New Roman" w:eastAsia="方正小标宋简体" w:cs="Times New Roman"/>
          <w:snapToGrid/>
          <w:kern w:val="2"/>
          <w:sz w:val="44"/>
          <w:szCs w:val="44"/>
          <w:lang w:val="en-US" w:eastAsia="zh-CN" w:bidi="ar-SA"/>
        </w:rPr>
      </w:pPr>
    </w:p>
    <w:p>
      <w:pPr>
        <w:pStyle w:val="3"/>
        <w:spacing w:before="4" w:line="192" w:lineRule="auto"/>
        <w:ind w:left="1370"/>
        <w:outlineLvl w:val="2"/>
        <w:rPr>
          <w:rFonts w:hint="default" w:ascii="Times New Roman" w:hAnsi="Times New Roman" w:eastAsia="方正小标宋简体" w:cs="Times New Roman"/>
          <w:snapToGrid/>
          <w:kern w:val="2"/>
          <w:sz w:val="44"/>
          <w:szCs w:val="44"/>
          <w:lang w:val="en-US" w:eastAsia="zh-CN" w:bidi="ar-SA"/>
        </w:rPr>
      </w:pPr>
      <w:r>
        <w:rPr>
          <w:rFonts w:hint="default" w:ascii="Times New Roman" w:hAnsi="Times New Roman" w:eastAsia="方正小标宋简体" w:cs="Times New Roman"/>
          <w:snapToGrid/>
          <w:kern w:val="2"/>
          <w:sz w:val="44"/>
          <w:szCs w:val="44"/>
          <w:lang w:val="en-US" w:eastAsia="zh-CN" w:bidi="ar-SA"/>
        </w:rPr>
        <w:t>农业文化遗产的概念和基本条件</w:t>
      </w:r>
    </w:p>
    <w:p>
      <w:pPr>
        <w:spacing w:line="471" w:lineRule="auto"/>
        <w:rPr>
          <w:rFonts w:ascii="Arial"/>
          <w:sz w:val="21"/>
        </w:rPr>
      </w:pPr>
    </w:p>
    <w:p>
      <w:pPr>
        <w:pStyle w:val="3"/>
        <w:numPr>
          <w:ilvl w:val="0"/>
          <w:numId w:val="1"/>
        </w:numPr>
        <w:spacing w:before="141" w:line="194" w:lineRule="auto"/>
        <w:ind w:left="643"/>
        <w:rPr>
          <w:rFonts w:hint="eastAsia" w:ascii="黑体" w:hAnsi="黑体" w:eastAsia="黑体" w:cs="黑体"/>
          <w:spacing w:val="-1"/>
          <w:sz w:val="32"/>
          <w:szCs w:val="32"/>
        </w:rPr>
      </w:pPr>
      <w:r>
        <w:rPr>
          <w:rFonts w:hint="eastAsia" w:ascii="黑体" w:hAnsi="黑体" w:eastAsia="黑体" w:cs="黑体"/>
          <w:spacing w:val="-1"/>
          <w:sz w:val="32"/>
          <w:szCs w:val="32"/>
        </w:rPr>
        <w:t>概念及特点</w:t>
      </w:r>
    </w:p>
    <w:p>
      <w:pPr>
        <w:pStyle w:val="3"/>
        <w:keepNext w:val="0"/>
        <w:keepLines w:val="0"/>
        <w:pageBreakBefore w:val="0"/>
        <w:widowControl/>
        <w:numPr>
          <w:numId w:val="0"/>
        </w:numPr>
        <w:kinsoku w:val="0"/>
        <w:wordWrap/>
        <w:overflowPunct/>
        <w:topLinePunct w:val="0"/>
        <w:autoSpaceDE w:val="0"/>
        <w:autoSpaceDN w:val="0"/>
        <w:bidi w:val="0"/>
        <w:adjustRightInd w:val="0"/>
        <w:snapToGrid w:val="0"/>
        <w:spacing w:before="141" w:line="360" w:lineRule="auto"/>
        <w:ind w:firstLine="640" w:firstLineChars="200"/>
        <w:textAlignment w:val="baseline"/>
        <w:rPr>
          <w:rFonts w:hint="eastAsia" w:ascii="仿宋_GB2312" w:hAnsi="仿宋_GB2312" w:eastAsia="仿宋_GB2312" w:cs="仿宋_GB2312"/>
          <w:b w:val="0"/>
          <w:snapToGrid/>
          <w:kern w:val="2"/>
          <w:sz w:val="32"/>
          <w:szCs w:val="32"/>
          <w:lang w:val="en-US" w:eastAsia="zh-CN" w:bidi="ar-SA"/>
        </w:rPr>
        <w:sectPr>
          <w:footerReference r:id="rId5" w:type="default"/>
          <w:pgSz w:w="11906" w:h="16838"/>
          <w:pgMar w:top="400" w:right="1523" w:bottom="1582" w:left="1538" w:header="0" w:footer="1149" w:gutter="0"/>
          <w:cols w:space="720" w:num="1"/>
        </w:sectPr>
      </w:pPr>
      <w:r>
        <w:rPr>
          <w:rFonts w:hint="eastAsia" w:ascii="仿宋_GB2312" w:hAnsi="仿宋_GB2312" w:eastAsia="仿宋_GB2312" w:cs="仿宋_GB2312"/>
          <w:b w:val="0"/>
          <w:snapToGrid/>
          <w:kern w:val="2"/>
          <w:sz w:val="32"/>
          <w:szCs w:val="32"/>
          <w:lang w:val="en-US" w:eastAsia="zh-CN" w:bidi="ar-SA"/>
        </w:rPr>
        <w:t>农业文化遗产是指我国人民在与所处环境长期协同发展中世代传承并具有丰富的农业生物多样性、完善的传统知识与技术体系、独特的生态与文化景观的农业生产系统。这些农业生产系统具有六个特点：</w:t>
      </w:r>
      <w:r>
        <w:rPr>
          <w:rFonts w:hint="eastAsia" w:ascii="仿宋_GB2312" w:hAnsi="仿宋_GB2312" w:eastAsia="仿宋_GB2312" w:cs="仿宋_GB2312"/>
          <w:b/>
          <w:bCs/>
          <w:snapToGrid/>
          <w:kern w:val="2"/>
          <w:sz w:val="32"/>
          <w:szCs w:val="32"/>
          <w:lang w:val="en-US" w:eastAsia="zh-CN" w:bidi="ar-SA"/>
        </w:rPr>
        <w:t>一是活态性</w:t>
      </w:r>
      <w:r>
        <w:rPr>
          <w:rFonts w:hint="eastAsia" w:ascii="仿宋_GB2312" w:hAnsi="仿宋_GB2312" w:eastAsia="仿宋_GB2312" w:cs="仿宋_GB2312"/>
          <w:b w:val="0"/>
          <w:snapToGrid/>
          <w:kern w:val="2"/>
          <w:sz w:val="32"/>
          <w:szCs w:val="32"/>
          <w:lang w:val="en-US" w:eastAsia="zh-CN" w:bidi="ar-SA"/>
        </w:rPr>
        <w:t>。历史悠久,至今仍然具有较强的生产与生态功能，是农民生计保障和乡村和谐发展的重要基础。</w:t>
      </w:r>
      <w:r>
        <w:rPr>
          <w:rFonts w:hint="eastAsia" w:ascii="仿宋_GB2312" w:hAnsi="仿宋_GB2312" w:eastAsia="仿宋_GB2312" w:cs="仿宋_GB2312"/>
          <w:b/>
          <w:bCs/>
          <w:snapToGrid/>
          <w:kern w:val="2"/>
          <w:sz w:val="32"/>
          <w:szCs w:val="32"/>
          <w:lang w:val="en-US" w:eastAsia="zh-CN" w:bidi="ar-SA"/>
        </w:rPr>
        <w:t>二是适应性</w:t>
      </w:r>
      <w:r>
        <w:rPr>
          <w:rFonts w:hint="eastAsia" w:ascii="仿宋_GB2312" w:hAnsi="仿宋_GB2312" w:eastAsia="仿宋_GB2312" w:cs="仿宋_GB2312"/>
          <w:b w:val="0"/>
          <w:snapToGrid/>
          <w:kern w:val="2"/>
          <w:sz w:val="32"/>
          <w:szCs w:val="32"/>
          <w:lang w:val="en-US" w:eastAsia="zh-CN" w:bidi="ar-SA"/>
        </w:rPr>
        <w:t>。随着自然条件变化、社会经济发展与技术进步，为了满足人类不断增长的生存与发展需要，在系统稳定基础上因地、因时地进行结构与功能的调整，充分体现出人与自然和谐发展的生存智慧。</w:t>
      </w:r>
      <w:r>
        <w:rPr>
          <w:rFonts w:hint="eastAsia" w:ascii="仿宋_GB2312" w:hAnsi="仿宋_GB2312" w:eastAsia="仿宋_GB2312" w:cs="仿宋_GB2312"/>
          <w:b/>
          <w:bCs/>
          <w:snapToGrid/>
          <w:kern w:val="2"/>
          <w:sz w:val="32"/>
          <w:szCs w:val="32"/>
          <w:lang w:val="en-US" w:eastAsia="zh-CN" w:bidi="ar-SA"/>
        </w:rPr>
        <w:t>三是复合性</w:t>
      </w:r>
      <w:r>
        <w:rPr>
          <w:rFonts w:hint="eastAsia" w:ascii="仿宋_GB2312" w:hAnsi="仿宋_GB2312" w:eastAsia="仿宋_GB2312" w:cs="仿宋_GB2312"/>
          <w:b w:val="0"/>
          <w:snapToGrid/>
          <w:kern w:val="2"/>
          <w:sz w:val="32"/>
          <w:szCs w:val="32"/>
          <w:lang w:val="en-US" w:eastAsia="zh-CN" w:bidi="ar-SA"/>
        </w:rPr>
        <w:t>。不仅包括一般意义上的传统农业知识和技术，还包括那些历史悠久、结构合理的传统农业景观，以及独特的农业生物资源与丰富的生物多样性。</w:t>
      </w:r>
      <w:r>
        <w:rPr>
          <w:rFonts w:hint="eastAsia" w:ascii="仿宋_GB2312" w:hAnsi="仿宋_GB2312" w:eastAsia="仿宋_GB2312" w:cs="仿宋_GB2312"/>
          <w:b/>
          <w:bCs/>
          <w:snapToGrid/>
          <w:kern w:val="2"/>
          <w:sz w:val="32"/>
          <w:szCs w:val="32"/>
          <w:lang w:val="en-US" w:eastAsia="zh-CN" w:bidi="ar-SA"/>
        </w:rPr>
        <w:t>四是战略性</w:t>
      </w:r>
      <w:r>
        <w:rPr>
          <w:rFonts w:hint="eastAsia" w:ascii="仿宋_GB2312" w:hAnsi="仿宋_GB2312" w:eastAsia="仿宋_GB2312" w:cs="仿宋_GB2312"/>
          <w:b w:val="0"/>
          <w:snapToGrid/>
          <w:kern w:val="2"/>
          <w:sz w:val="32"/>
          <w:szCs w:val="32"/>
          <w:lang w:val="en-US" w:eastAsia="zh-CN" w:bidi="ar-SA"/>
        </w:rPr>
        <w:t>。对于应对经济全球化和全球气候变化，保护生物多样性、生态安全、粮食安全，解决贫困等重大问题以及促进农业可持续发展和农村生态文明建设具有重要战略意义。</w:t>
      </w:r>
      <w:r>
        <w:rPr>
          <w:rFonts w:hint="eastAsia" w:ascii="仿宋_GB2312" w:hAnsi="仿宋_GB2312" w:eastAsia="仿宋_GB2312" w:cs="仿宋_GB2312"/>
          <w:b/>
          <w:bCs/>
          <w:snapToGrid/>
          <w:kern w:val="2"/>
          <w:sz w:val="32"/>
          <w:szCs w:val="32"/>
          <w:lang w:val="en-US" w:eastAsia="zh-CN" w:bidi="ar-SA"/>
        </w:rPr>
        <w:t>五是多功能性</w:t>
      </w:r>
      <w:r>
        <w:rPr>
          <w:rFonts w:hint="eastAsia" w:ascii="仿宋_GB2312" w:hAnsi="仿宋_GB2312" w:eastAsia="仿宋_GB2312" w:cs="仿宋_GB2312"/>
          <w:b w:val="0"/>
          <w:snapToGrid/>
          <w:kern w:val="2"/>
          <w:sz w:val="32"/>
          <w:szCs w:val="32"/>
          <w:lang w:val="en-US" w:eastAsia="zh-CN" w:bidi="ar-SA"/>
        </w:rPr>
        <w:t>。兼具食品保障、原料供给、就业增收、生态保护、观光休闲、文化传承、科学研究等多种功能。</w:t>
      </w:r>
      <w:r>
        <w:rPr>
          <w:rFonts w:hint="eastAsia" w:ascii="仿宋_GB2312" w:hAnsi="仿宋_GB2312" w:eastAsia="仿宋_GB2312" w:cs="仿宋_GB2312"/>
          <w:b/>
          <w:bCs/>
          <w:snapToGrid/>
          <w:kern w:val="2"/>
          <w:sz w:val="32"/>
          <w:szCs w:val="32"/>
          <w:lang w:val="en-US" w:eastAsia="zh-CN" w:bidi="ar-SA"/>
        </w:rPr>
        <w:t>六是濒危性</w:t>
      </w:r>
      <w:r>
        <w:rPr>
          <w:rFonts w:hint="eastAsia" w:ascii="仿宋_GB2312" w:hAnsi="仿宋_GB2312" w:eastAsia="仿宋_GB2312" w:cs="仿宋_GB2312"/>
          <w:b w:val="0"/>
          <w:snapToGrid/>
          <w:kern w:val="2"/>
          <w:sz w:val="32"/>
          <w:szCs w:val="32"/>
          <w:lang w:val="en-US" w:eastAsia="zh-CN" w:bidi="ar-SA"/>
        </w:rPr>
        <w:t>。由于政策与技术原因和社会经济发展的阶段性造成传统生产系统的变化具有不可逆性，会产生农业生物多样性减少、传统农业技术知识丧失以及农业生态环境退化等方面的风险。</w:t>
      </w:r>
    </w:p>
    <w:p>
      <w:pPr>
        <w:spacing w:line="253" w:lineRule="auto"/>
        <w:rPr>
          <w:rFonts w:hint="eastAsia" w:ascii="仿宋_GB2312" w:hAnsi="仿宋_GB2312" w:eastAsia="仿宋_GB2312" w:cs="仿宋_GB2312"/>
          <w:b w:val="0"/>
          <w:snapToGrid/>
          <w:kern w:val="2"/>
          <w:sz w:val="32"/>
          <w:szCs w:val="32"/>
          <w:lang w:val="en-US" w:eastAsia="zh-CN" w:bidi="ar-SA"/>
        </w:rPr>
      </w:pPr>
    </w:p>
    <w:p>
      <w:pPr>
        <w:spacing w:line="254" w:lineRule="auto"/>
        <w:rPr>
          <w:rFonts w:hint="eastAsia" w:ascii="仿宋_GB2312" w:hAnsi="仿宋_GB2312" w:eastAsia="仿宋_GB2312" w:cs="仿宋_GB2312"/>
          <w:b w:val="0"/>
          <w:snapToGrid/>
          <w:kern w:val="2"/>
          <w:sz w:val="32"/>
          <w:szCs w:val="32"/>
          <w:lang w:val="en-US" w:eastAsia="zh-CN" w:bidi="ar-SA"/>
        </w:rPr>
      </w:pPr>
    </w:p>
    <w:p>
      <w:pPr>
        <w:pStyle w:val="3"/>
        <w:spacing w:before="141" w:line="194" w:lineRule="auto"/>
        <w:ind w:left="644"/>
        <w:rPr>
          <w:rFonts w:hint="eastAsia" w:ascii="黑体" w:hAnsi="黑体" w:eastAsia="黑体" w:cs="黑体"/>
          <w:b w:val="0"/>
          <w:snapToGrid/>
          <w:kern w:val="2"/>
          <w:sz w:val="32"/>
          <w:szCs w:val="32"/>
          <w:lang w:val="en-US" w:eastAsia="zh-CN" w:bidi="ar-SA"/>
        </w:rPr>
      </w:pPr>
      <w:r>
        <w:rPr>
          <w:rFonts w:hint="eastAsia" w:ascii="黑体" w:hAnsi="黑体" w:eastAsia="黑体" w:cs="黑体"/>
          <w:b w:val="0"/>
          <w:snapToGrid/>
          <w:kern w:val="2"/>
          <w:sz w:val="32"/>
          <w:szCs w:val="32"/>
          <w:lang w:val="en-US" w:eastAsia="zh-CN" w:bidi="ar-SA"/>
        </w:rPr>
        <w:t>二、基本条件</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3"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一是</w:t>
      </w:r>
      <w:r>
        <w:rPr>
          <w:rFonts w:hint="eastAsia" w:ascii="仿宋_GB2312" w:hAnsi="仿宋_GB2312" w:eastAsia="仿宋_GB2312" w:cs="仿宋_GB2312"/>
          <w:b w:val="0"/>
          <w:snapToGrid/>
          <w:kern w:val="2"/>
          <w:sz w:val="32"/>
          <w:szCs w:val="32"/>
          <w:lang w:val="en-US" w:eastAsia="zh-CN" w:bidi="ar-SA"/>
        </w:rPr>
        <w:t>具有传承发展岭南优秀农耕文化的重要价值。农业文化遗产在当地的传承历史至少100年以上，在农业物种起源、重大的技术和制度创新传播中有着重要意义，且至今仍具有较强的生产功能，对当地农业生产、农民增收和社会福祉等起着重要作用。</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3"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二是</w:t>
      </w:r>
      <w:r>
        <w:rPr>
          <w:rFonts w:hint="eastAsia" w:ascii="仿宋_GB2312" w:hAnsi="仿宋_GB2312" w:eastAsia="仿宋_GB2312" w:cs="仿宋_GB2312"/>
          <w:b w:val="0"/>
          <w:snapToGrid/>
          <w:kern w:val="2"/>
          <w:sz w:val="32"/>
          <w:szCs w:val="32"/>
          <w:lang w:val="en-US" w:eastAsia="zh-CN" w:bidi="ar-SA"/>
        </w:rPr>
        <w:t>具有明确的核心保护要素。核心保护要素包括农业物种、生产方式、农村社会习俗等多个方面，并有明显的关联性。</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3"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三是</w:t>
      </w:r>
      <w:r>
        <w:rPr>
          <w:rFonts w:hint="eastAsia" w:ascii="仿宋_GB2312" w:hAnsi="仿宋_GB2312" w:eastAsia="仿宋_GB2312" w:cs="仿宋_GB2312"/>
          <w:b w:val="0"/>
          <w:snapToGrid/>
          <w:kern w:val="2"/>
          <w:sz w:val="32"/>
          <w:szCs w:val="32"/>
          <w:lang w:val="en-US" w:eastAsia="zh-CN" w:bidi="ar-SA"/>
        </w:rPr>
        <w:t>具有特色鲜明的传统农业产业和知识技术体系。农业文化遗产的农业产业特色鲜明，蕴含资源利用、水土保持、生物多样性保护、气候调节与适应、病虫草害控制、养分循环等方面的传统农业知识和技术，具有一定的科学价值和实践意义。</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3"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四是</w:t>
      </w:r>
      <w:r>
        <w:rPr>
          <w:rFonts w:hint="eastAsia" w:ascii="仿宋_GB2312" w:hAnsi="仿宋_GB2312" w:eastAsia="仿宋_GB2312" w:cs="仿宋_GB2312"/>
          <w:b w:val="0"/>
          <w:snapToGrid/>
          <w:kern w:val="2"/>
          <w:sz w:val="32"/>
          <w:szCs w:val="32"/>
          <w:lang w:val="en-US" w:eastAsia="zh-CN" w:bidi="ar-SA"/>
        </w:rPr>
        <w:t>具有以农业为基础的乡土文化传统和农业生态景观。包括农村社会管理制度、民俗节庆礼仪和农业生态景观等，蕴含着丰富的思想观念、人文精神和道德规范，体现了人与自然和谐发展的传统智慧，文化传承价值较高。</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3" w:firstLineChars="200"/>
        <w:textAlignment w:val="baseline"/>
        <w:rPr>
          <w:rFonts w:hint="eastAsia" w:ascii="仿宋_GB2312" w:hAnsi="仿宋_GB2312" w:eastAsia="仿宋_GB2312" w:cs="仿宋_GB2312"/>
          <w:b w:val="0"/>
          <w:snapToGrid/>
          <w:kern w:val="2"/>
          <w:sz w:val="32"/>
          <w:szCs w:val="32"/>
          <w:lang w:val="en-US" w:eastAsia="zh-CN" w:bidi="ar-SA"/>
        </w:rPr>
        <w:sectPr>
          <w:footerReference r:id="rId6" w:type="default"/>
          <w:pgSz w:w="11906" w:h="16838"/>
          <w:pgMar w:top="400" w:right="1428" w:bottom="1582" w:left="1536" w:header="0" w:footer="1153" w:gutter="0"/>
          <w:cols w:space="720" w:num="1"/>
        </w:sectPr>
      </w:pPr>
      <w:r>
        <w:rPr>
          <w:rFonts w:hint="eastAsia" w:ascii="仿宋_GB2312" w:hAnsi="仿宋_GB2312" w:eastAsia="仿宋_GB2312" w:cs="仿宋_GB2312"/>
          <w:b/>
          <w:bCs/>
          <w:snapToGrid/>
          <w:kern w:val="2"/>
          <w:sz w:val="32"/>
          <w:szCs w:val="32"/>
          <w:lang w:val="en-US" w:eastAsia="zh-CN" w:bidi="ar-SA"/>
        </w:rPr>
        <w:t>五是</w:t>
      </w:r>
      <w:r>
        <w:rPr>
          <w:rFonts w:hint="eastAsia" w:ascii="仿宋_GB2312" w:hAnsi="仿宋_GB2312" w:eastAsia="仿宋_GB2312" w:cs="仿宋_GB2312"/>
          <w:b w:val="0"/>
          <w:snapToGrid/>
          <w:kern w:val="2"/>
          <w:sz w:val="32"/>
          <w:szCs w:val="32"/>
          <w:lang w:val="en-US" w:eastAsia="zh-CN" w:bidi="ar-SA"/>
        </w:rPr>
        <w:t>存在消亡的风险。面临自然灾害、气候变化、生物入侵等自然因素和工业化、城镇化、农业新技术、外来文化等社会因素的影响，农业物种、传统技术、农业景观、文化表现形式等不断减少、减弱，存在消亡的风险。</w:t>
      </w:r>
      <w:bookmarkStart w:id="0" w:name="_GoBack"/>
      <w:bookmarkEnd w:id="0"/>
    </w:p>
    <w:p>
      <w:pPr>
        <w:rPr>
          <w:rFonts w:hint="eastAsia" w:ascii="仿宋_GB2312" w:hAnsi="仿宋_GB2312" w:eastAsia="仿宋_GB2312" w:cs="仿宋_GB2312"/>
          <w:b w:val="0"/>
          <w:snapToGrid/>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 SC">
    <w:altName w:val="宋体"/>
    <w:panose1 w:val="020B0400000000000000"/>
    <w:charset w:val="86"/>
    <w:family w:val="auto"/>
    <w:pitch w:val="default"/>
    <w:sig w:usb0="00000000" w:usb1="00000000" w:usb2="00000017"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99" w:lineRule="auto"/>
      <w:ind w:left="16"/>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97" w:lineRule="auto"/>
      <w:ind w:left="7883"/>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BC646"/>
    <w:multiLevelType w:val="singleLevel"/>
    <w:tmpl w:val="CBFBC646"/>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7FF5A"/>
    <w:rsid w:val="4D8A4424"/>
    <w:rsid w:val="7FF7F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PingFang SC" w:hAnsi="PingFang SC" w:eastAsia="PingFang SC" w:cs="PingFang SC"/>
      <w:sz w:val="31"/>
      <w:szCs w:val="31"/>
      <w:lang w:val="en-US" w:eastAsia="en-US" w:bidi="ar-SA"/>
    </w:rPr>
  </w:style>
  <w:style w:type="paragraph" w:styleId="4">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2026-07-28T09:58:00Z</dcterms:created>
  <dc:creator>北笙</dc:creator>
  <cp:lastModifiedBy>Zhang</cp:lastModifiedBy>
  <dcterms:modified xsi:type="dcterms:W3CDTF">2026-07-28T02:21:24Z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99B9CD9D113A334DDA0C686A48905B77_41</vt:lpwstr>
  </property>
</Properties>
</file>